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F2" w:rsidRDefault="009A22F2" w:rsidP="006947A4">
      <w:pPr>
        <w:pStyle w:val="Normal0"/>
        <w:jc w:val="both"/>
        <w:rPr>
          <w:color w:val="000000"/>
          <w:sz w:val="28"/>
          <w:szCs w:val="28"/>
          <w:lang w:val="es-ES_tradnl"/>
        </w:rPr>
      </w:pPr>
    </w:p>
    <w:p w:rsidR="00F82EF8" w:rsidRDefault="00C94B02" w:rsidP="00DC7F7E">
      <w:pPr>
        <w:pStyle w:val="Normal0"/>
        <w:spacing w:line="276" w:lineRule="auto"/>
        <w:jc w:val="center"/>
        <w:rPr>
          <w:b/>
          <w:color w:val="000000"/>
          <w:sz w:val="28"/>
          <w:szCs w:val="28"/>
          <w:u w:val="single"/>
          <w:lang w:val="es-ES_tradnl"/>
        </w:rPr>
      </w:pPr>
      <w:r w:rsidRPr="00C94B02">
        <w:rPr>
          <w:b/>
          <w:color w:val="000000"/>
          <w:sz w:val="28"/>
          <w:szCs w:val="28"/>
          <w:u w:val="single"/>
          <w:lang w:val="es-ES_tradnl"/>
        </w:rPr>
        <w:t xml:space="preserve">Pautas de actuación en las conformidades </w:t>
      </w:r>
      <w:r w:rsidR="00DC7F7E">
        <w:rPr>
          <w:b/>
          <w:color w:val="000000"/>
          <w:sz w:val="28"/>
          <w:szCs w:val="28"/>
          <w:u w:val="single"/>
          <w:lang w:val="es-ES_tradnl"/>
        </w:rPr>
        <w:t>ante la Audiencia Provincial de Cantabria.</w:t>
      </w:r>
    </w:p>
    <w:p w:rsidR="006074C1" w:rsidRDefault="006074C1" w:rsidP="00DC7F7E">
      <w:pPr>
        <w:pStyle w:val="Normal0"/>
        <w:spacing w:line="276" w:lineRule="auto"/>
        <w:jc w:val="center"/>
        <w:rPr>
          <w:b/>
          <w:color w:val="000000"/>
          <w:sz w:val="28"/>
          <w:szCs w:val="28"/>
          <w:u w:val="single"/>
          <w:lang w:val="es-ES_tradnl"/>
        </w:rPr>
      </w:pPr>
    </w:p>
    <w:p w:rsidR="006074C1" w:rsidRPr="00C94B02" w:rsidRDefault="006074C1" w:rsidP="00DC7F7E">
      <w:pPr>
        <w:pStyle w:val="Normal0"/>
        <w:spacing w:line="276" w:lineRule="auto"/>
        <w:jc w:val="center"/>
        <w:rPr>
          <w:b/>
          <w:color w:val="000000"/>
          <w:sz w:val="28"/>
          <w:szCs w:val="28"/>
          <w:u w:val="single"/>
          <w:lang w:val="es-ES_tradnl"/>
        </w:rPr>
      </w:pPr>
    </w:p>
    <w:p w:rsidR="00F82EF8" w:rsidRDefault="00F82EF8" w:rsidP="009A22F2">
      <w:pPr>
        <w:pStyle w:val="Normal0"/>
        <w:spacing w:line="276" w:lineRule="auto"/>
        <w:jc w:val="both"/>
        <w:rPr>
          <w:color w:val="000000"/>
          <w:sz w:val="28"/>
          <w:szCs w:val="28"/>
          <w:lang w:val="es-ES_tradnl"/>
        </w:rPr>
      </w:pPr>
    </w:p>
    <w:p w:rsidR="0059765D" w:rsidRDefault="00F82EF8" w:rsidP="009A22F2">
      <w:pPr>
        <w:pStyle w:val="Normal0"/>
        <w:spacing w:line="276" w:lineRule="auto"/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 w:val="28"/>
          <w:szCs w:val="28"/>
          <w:lang w:val="es-ES_tradnl"/>
        </w:rPr>
        <w:t xml:space="preserve">         </w:t>
      </w:r>
      <w:r w:rsidR="0059765D">
        <w:rPr>
          <w:color w:val="000000"/>
          <w:sz w:val="28"/>
          <w:szCs w:val="28"/>
          <w:lang w:val="es-ES_tradnl"/>
        </w:rPr>
        <w:t xml:space="preserve">Alcanzar una conformidad antes del día previsto para la celebración del juicio permite, de un lado, una </w:t>
      </w:r>
      <w:r w:rsidR="00DC7F7E">
        <w:rPr>
          <w:color w:val="000000"/>
          <w:sz w:val="28"/>
          <w:szCs w:val="28"/>
          <w:lang w:val="es-ES_tradnl"/>
        </w:rPr>
        <w:t>mejor gestión de la agenda de señalamientos en beneficio de la administración</w:t>
      </w:r>
      <w:r w:rsidR="0059765D">
        <w:rPr>
          <w:color w:val="000000"/>
          <w:sz w:val="28"/>
          <w:szCs w:val="28"/>
          <w:lang w:val="es-ES_tradnl"/>
        </w:rPr>
        <w:t xml:space="preserve">, y, del otro, evita </w:t>
      </w:r>
      <w:r w:rsidR="007229D5">
        <w:rPr>
          <w:color w:val="000000"/>
          <w:sz w:val="28"/>
          <w:szCs w:val="28"/>
          <w:lang w:val="es-ES_tradnl"/>
        </w:rPr>
        <w:t>desplazamientos,</w:t>
      </w:r>
      <w:r w:rsidR="009A22F2">
        <w:rPr>
          <w:color w:val="000000"/>
          <w:sz w:val="28"/>
          <w:szCs w:val="28"/>
          <w:lang w:val="es-ES_tradnl"/>
        </w:rPr>
        <w:t xml:space="preserve"> </w:t>
      </w:r>
      <w:r w:rsidR="007229D5">
        <w:rPr>
          <w:color w:val="000000"/>
          <w:sz w:val="28"/>
          <w:szCs w:val="28"/>
          <w:lang w:val="es-ES_tradnl"/>
        </w:rPr>
        <w:t xml:space="preserve">esperas y </w:t>
      </w:r>
      <w:r w:rsidR="00DC7F7E">
        <w:rPr>
          <w:color w:val="000000"/>
          <w:sz w:val="28"/>
          <w:szCs w:val="28"/>
          <w:lang w:val="es-ES_tradnl"/>
        </w:rPr>
        <w:t xml:space="preserve">en general </w:t>
      </w:r>
      <w:r w:rsidR="007229D5">
        <w:rPr>
          <w:color w:val="000000"/>
          <w:sz w:val="28"/>
          <w:szCs w:val="28"/>
          <w:lang w:val="es-ES_tradnl"/>
        </w:rPr>
        <w:t>molestias a</w:t>
      </w:r>
      <w:r w:rsidR="00DC7F7E">
        <w:rPr>
          <w:color w:val="000000"/>
          <w:sz w:val="28"/>
          <w:szCs w:val="28"/>
          <w:lang w:val="es-ES_tradnl"/>
        </w:rPr>
        <w:t xml:space="preserve"> los ciudadanos y miembros de las fuerzas de seguridad que hayan de com</w:t>
      </w:r>
      <w:r w:rsidR="0059765D">
        <w:rPr>
          <w:color w:val="000000"/>
          <w:sz w:val="28"/>
          <w:szCs w:val="28"/>
          <w:lang w:val="es-ES_tradnl"/>
        </w:rPr>
        <w:t>parecer como testigos y peritos.</w:t>
      </w:r>
    </w:p>
    <w:p w:rsidR="0059765D" w:rsidRDefault="0059765D" w:rsidP="009A22F2">
      <w:pPr>
        <w:pStyle w:val="Normal0"/>
        <w:spacing w:line="276" w:lineRule="auto"/>
        <w:jc w:val="both"/>
        <w:rPr>
          <w:color w:val="000000"/>
          <w:sz w:val="28"/>
          <w:szCs w:val="28"/>
          <w:lang w:val="es-ES_tradnl"/>
        </w:rPr>
      </w:pPr>
    </w:p>
    <w:p w:rsidR="0059765D" w:rsidRDefault="0059765D" w:rsidP="0059765D">
      <w:pPr>
        <w:pStyle w:val="Normal0"/>
        <w:spacing w:line="276" w:lineRule="auto"/>
        <w:ind w:firstLine="567"/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 w:val="28"/>
          <w:szCs w:val="28"/>
          <w:lang w:val="es-ES_tradnl"/>
        </w:rPr>
        <w:t xml:space="preserve">  La </w:t>
      </w:r>
      <w:r w:rsidR="007229D5">
        <w:rPr>
          <w:color w:val="000000"/>
          <w:sz w:val="28"/>
          <w:szCs w:val="28"/>
          <w:lang w:val="es-ES_tradnl"/>
        </w:rPr>
        <w:t>Fiscalía Superior</w:t>
      </w:r>
      <w:r>
        <w:rPr>
          <w:color w:val="000000"/>
          <w:sz w:val="28"/>
          <w:szCs w:val="28"/>
          <w:lang w:val="es-ES_tradnl"/>
        </w:rPr>
        <w:t xml:space="preserve"> del TSJ de Cantabria</w:t>
      </w:r>
      <w:r w:rsidR="007229D5">
        <w:rPr>
          <w:color w:val="000000"/>
          <w:sz w:val="28"/>
          <w:szCs w:val="28"/>
          <w:lang w:val="es-ES_tradnl"/>
        </w:rPr>
        <w:t xml:space="preserve"> y el</w:t>
      </w:r>
      <w:r w:rsidR="00DC7F7E">
        <w:rPr>
          <w:color w:val="000000"/>
          <w:sz w:val="28"/>
          <w:szCs w:val="28"/>
          <w:lang w:val="es-ES_tradnl"/>
        </w:rPr>
        <w:t xml:space="preserve"> Ilustre</w:t>
      </w:r>
      <w:r w:rsidR="007229D5">
        <w:rPr>
          <w:color w:val="000000"/>
          <w:sz w:val="28"/>
          <w:szCs w:val="28"/>
          <w:lang w:val="es-ES_tradnl"/>
        </w:rPr>
        <w:t xml:space="preserve"> Colegio de Abogados</w:t>
      </w:r>
      <w:r w:rsidR="00DC7F7E">
        <w:rPr>
          <w:color w:val="000000"/>
          <w:sz w:val="28"/>
          <w:szCs w:val="28"/>
          <w:lang w:val="es-ES_tradnl"/>
        </w:rPr>
        <w:t xml:space="preserve"> de Cantabria, con el conocimiento y aceptación de los magistrados/as y letrados/as de la Administración de Justicia de las secciones penales, han </w:t>
      </w:r>
      <w:r w:rsidR="007229D5">
        <w:rPr>
          <w:color w:val="000000"/>
          <w:sz w:val="28"/>
          <w:szCs w:val="28"/>
          <w:lang w:val="es-ES_tradnl"/>
        </w:rPr>
        <w:t>conse</w:t>
      </w:r>
      <w:r>
        <w:rPr>
          <w:color w:val="000000"/>
          <w:sz w:val="28"/>
          <w:szCs w:val="28"/>
          <w:lang w:val="es-ES_tradnl"/>
        </w:rPr>
        <w:t>nsuado unas pautas de actuación</w:t>
      </w:r>
      <w:r w:rsidR="007229D5">
        <w:rPr>
          <w:color w:val="000000"/>
          <w:sz w:val="28"/>
          <w:szCs w:val="28"/>
          <w:lang w:val="es-ES_tradnl"/>
        </w:rPr>
        <w:t xml:space="preserve"> que</w:t>
      </w:r>
      <w:r>
        <w:rPr>
          <w:color w:val="000000"/>
          <w:sz w:val="28"/>
          <w:szCs w:val="28"/>
          <w:lang w:val="es-ES_tradnl"/>
        </w:rPr>
        <w:t xml:space="preserve"> permitirían adelantar el tratamiento de la conformidad a un momento anterior a la fecha prevista de celebración del juicio.</w:t>
      </w:r>
    </w:p>
    <w:p w:rsidR="0059765D" w:rsidRDefault="0059765D" w:rsidP="0059765D">
      <w:pPr>
        <w:pStyle w:val="Normal0"/>
        <w:spacing w:line="276" w:lineRule="auto"/>
        <w:ind w:firstLine="567"/>
        <w:jc w:val="both"/>
        <w:rPr>
          <w:color w:val="000000"/>
          <w:sz w:val="28"/>
          <w:szCs w:val="28"/>
          <w:lang w:val="es-ES_tradnl"/>
        </w:rPr>
      </w:pPr>
    </w:p>
    <w:p w:rsidR="007229D5" w:rsidRDefault="0059765D" w:rsidP="0059765D">
      <w:pPr>
        <w:pStyle w:val="Normal0"/>
        <w:spacing w:line="276" w:lineRule="auto"/>
        <w:ind w:firstLine="567"/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 w:val="28"/>
          <w:szCs w:val="28"/>
          <w:lang w:val="es-ES_tradnl"/>
        </w:rPr>
        <w:t xml:space="preserve"> Básicamente consiste</w:t>
      </w:r>
      <w:r w:rsidR="007229D5">
        <w:rPr>
          <w:color w:val="000000"/>
          <w:sz w:val="28"/>
          <w:szCs w:val="28"/>
          <w:lang w:val="es-ES_tradnl"/>
        </w:rPr>
        <w:t xml:space="preserve"> en los siguientes</w:t>
      </w:r>
      <w:r w:rsidR="00DC7F7E">
        <w:rPr>
          <w:color w:val="000000"/>
          <w:sz w:val="28"/>
          <w:szCs w:val="28"/>
          <w:lang w:val="es-ES_tradnl"/>
        </w:rPr>
        <w:t xml:space="preserve"> hitos</w:t>
      </w:r>
      <w:r>
        <w:rPr>
          <w:color w:val="000000"/>
          <w:sz w:val="28"/>
          <w:szCs w:val="28"/>
          <w:lang w:val="es-ES_tradnl"/>
        </w:rPr>
        <w:t>, que se</w:t>
      </w:r>
      <w:r w:rsidRPr="0059765D">
        <w:rPr>
          <w:color w:val="000000"/>
          <w:sz w:val="28"/>
          <w:szCs w:val="28"/>
          <w:lang w:val="es-ES_tradnl"/>
        </w:rPr>
        <w:t xml:space="preserve"> </w:t>
      </w:r>
      <w:r>
        <w:rPr>
          <w:color w:val="000000"/>
          <w:sz w:val="28"/>
          <w:szCs w:val="28"/>
          <w:lang w:val="es-ES_tradnl"/>
        </w:rPr>
        <w:t>reflejan en el cuadro adjunto</w:t>
      </w:r>
      <w:r w:rsidR="007229D5">
        <w:rPr>
          <w:color w:val="000000"/>
          <w:sz w:val="28"/>
          <w:szCs w:val="28"/>
          <w:lang w:val="es-ES_tradnl"/>
        </w:rPr>
        <w:t>:</w:t>
      </w:r>
    </w:p>
    <w:p w:rsidR="007229D5" w:rsidRDefault="007229D5" w:rsidP="009A22F2">
      <w:pPr>
        <w:pStyle w:val="Normal0"/>
        <w:spacing w:line="276" w:lineRule="auto"/>
        <w:jc w:val="both"/>
        <w:rPr>
          <w:color w:val="000000"/>
          <w:sz w:val="28"/>
          <w:szCs w:val="28"/>
          <w:lang w:val="es-ES_tradnl"/>
        </w:rPr>
      </w:pPr>
    </w:p>
    <w:p w:rsidR="004C4DEE" w:rsidRDefault="00CA09A7" w:rsidP="009A22F2">
      <w:pPr>
        <w:pStyle w:val="Normal0"/>
        <w:spacing w:line="276" w:lineRule="auto"/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 w:val="28"/>
          <w:szCs w:val="28"/>
          <w:lang w:val="es-ES_tradnl"/>
        </w:rPr>
        <w:t xml:space="preserve">      1º) Cuando una S</w:t>
      </w:r>
      <w:r w:rsidR="007229D5">
        <w:rPr>
          <w:color w:val="000000"/>
          <w:sz w:val="28"/>
          <w:szCs w:val="28"/>
          <w:lang w:val="es-ES_tradnl"/>
        </w:rPr>
        <w:t>ección penal de la Audiencia Provincial realice el s</w:t>
      </w:r>
      <w:r w:rsidR="00052363">
        <w:rPr>
          <w:color w:val="000000"/>
          <w:sz w:val="28"/>
          <w:szCs w:val="28"/>
          <w:lang w:val="es-ES_tradnl"/>
        </w:rPr>
        <w:t>eñalamiento en un procedimiento que, conforme a la Ley de Enjuiciamiento Criminal, permita la finalización del mismo mediante conformidad, lo notificará exclusivamente al acusado, al letrado de la defensa, al Ministerio Fiscal, y, en su caso, a la representación de la acusación particular.</w:t>
      </w:r>
    </w:p>
    <w:p w:rsidR="00052363" w:rsidRDefault="00052363" w:rsidP="009A22F2">
      <w:pPr>
        <w:pStyle w:val="Normal0"/>
        <w:spacing w:line="276" w:lineRule="auto"/>
        <w:jc w:val="both"/>
        <w:rPr>
          <w:color w:val="000000"/>
          <w:sz w:val="28"/>
          <w:szCs w:val="28"/>
          <w:lang w:val="es-ES_tradnl"/>
        </w:rPr>
      </w:pPr>
    </w:p>
    <w:p w:rsidR="00052363" w:rsidRDefault="00052363" w:rsidP="009A22F2">
      <w:pPr>
        <w:pStyle w:val="Normal0"/>
        <w:spacing w:line="276" w:lineRule="auto"/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 w:val="28"/>
          <w:szCs w:val="28"/>
          <w:lang w:val="es-ES_tradnl"/>
        </w:rPr>
        <w:t xml:space="preserve">      </w:t>
      </w:r>
      <w:r w:rsidR="00CA09A7">
        <w:rPr>
          <w:color w:val="000000"/>
          <w:sz w:val="28"/>
          <w:szCs w:val="28"/>
          <w:lang w:val="es-ES_tradnl"/>
        </w:rPr>
        <w:t xml:space="preserve"> </w:t>
      </w:r>
      <w:r>
        <w:rPr>
          <w:color w:val="000000"/>
          <w:sz w:val="28"/>
          <w:szCs w:val="28"/>
          <w:lang w:val="es-ES_tradnl"/>
        </w:rPr>
        <w:t>2º</w:t>
      </w:r>
      <w:r w:rsidR="00CA09A7">
        <w:rPr>
          <w:color w:val="000000"/>
          <w:sz w:val="28"/>
          <w:szCs w:val="28"/>
          <w:lang w:val="es-ES_tradnl"/>
        </w:rPr>
        <w:t xml:space="preserve">) El letrado </w:t>
      </w:r>
      <w:r w:rsidR="00DC7F7E">
        <w:rPr>
          <w:color w:val="000000"/>
          <w:sz w:val="28"/>
          <w:szCs w:val="28"/>
          <w:lang w:val="es-ES_tradnl"/>
        </w:rPr>
        <w:t xml:space="preserve">interesado en </w:t>
      </w:r>
      <w:r>
        <w:rPr>
          <w:color w:val="000000"/>
          <w:sz w:val="28"/>
          <w:szCs w:val="28"/>
          <w:lang w:val="es-ES_tradnl"/>
        </w:rPr>
        <w:t>proponer un acuerdo a la Fiscalía</w:t>
      </w:r>
      <w:r w:rsidR="00DC7F7E">
        <w:rPr>
          <w:color w:val="000000"/>
          <w:sz w:val="28"/>
          <w:szCs w:val="28"/>
          <w:lang w:val="es-ES_tradnl"/>
        </w:rPr>
        <w:t xml:space="preserve"> a los efectos de alcanzar una conformidad</w:t>
      </w:r>
      <w:r>
        <w:rPr>
          <w:color w:val="000000"/>
          <w:sz w:val="28"/>
          <w:szCs w:val="28"/>
          <w:lang w:val="es-ES_tradnl"/>
        </w:rPr>
        <w:t>, se pondrá en contacto con el Fiscal designado para asistir a la vista. A tal</w:t>
      </w:r>
      <w:r w:rsidR="00CA09A7">
        <w:rPr>
          <w:color w:val="000000"/>
          <w:sz w:val="28"/>
          <w:szCs w:val="28"/>
          <w:lang w:val="es-ES_tradnl"/>
        </w:rPr>
        <w:t xml:space="preserve"> efecto, estará expuesta en la S</w:t>
      </w:r>
      <w:r>
        <w:rPr>
          <w:color w:val="000000"/>
          <w:sz w:val="28"/>
          <w:szCs w:val="28"/>
          <w:lang w:val="es-ES_tradnl"/>
        </w:rPr>
        <w:t xml:space="preserve">ecretaría de la Fiscalía </w:t>
      </w:r>
      <w:r w:rsidR="00CA09A7">
        <w:rPr>
          <w:color w:val="000000"/>
          <w:sz w:val="28"/>
          <w:szCs w:val="28"/>
          <w:lang w:val="es-ES_tradnl"/>
        </w:rPr>
        <w:t>el cuadro de señalamientos</w:t>
      </w:r>
      <w:r w:rsidR="00DC7F7E">
        <w:rPr>
          <w:color w:val="000000"/>
          <w:sz w:val="28"/>
          <w:szCs w:val="28"/>
          <w:lang w:val="es-ES_tradnl"/>
        </w:rPr>
        <w:t xml:space="preserve"> con el Fiscal designado</w:t>
      </w:r>
      <w:r w:rsidR="00CA09A7">
        <w:rPr>
          <w:color w:val="000000"/>
          <w:sz w:val="28"/>
          <w:szCs w:val="28"/>
          <w:lang w:val="es-ES_tradnl"/>
        </w:rPr>
        <w:t xml:space="preserve">, </w:t>
      </w:r>
      <w:r w:rsidR="00DC7F7E">
        <w:rPr>
          <w:color w:val="000000"/>
          <w:sz w:val="28"/>
          <w:szCs w:val="28"/>
          <w:lang w:val="es-ES_tradnl"/>
        </w:rPr>
        <w:t xml:space="preserve">sin perjuicio de que </w:t>
      </w:r>
      <w:r w:rsidR="00CA09A7">
        <w:rPr>
          <w:color w:val="000000"/>
          <w:sz w:val="28"/>
          <w:szCs w:val="28"/>
          <w:lang w:val="es-ES_tradnl"/>
        </w:rPr>
        <w:t xml:space="preserve">dicha información </w:t>
      </w:r>
      <w:r w:rsidR="00DC7F7E">
        <w:rPr>
          <w:color w:val="000000"/>
          <w:sz w:val="28"/>
          <w:szCs w:val="28"/>
          <w:lang w:val="es-ES_tradnl"/>
        </w:rPr>
        <w:t xml:space="preserve">también podrá ofrecerse </w:t>
      </w:r>
      <w:r w:rsidR="00CA09A7">
        <w:rPr>
          <w:color w:val="000000"/>
          <w:sz w:val="28"/>
          <w:szCs w:val="28"/>
          <w:lang w:val="es-ES_tradnl"/>
        </w:rPr>
        <w:t xml:space="preserve">por teléfono. En el supuesto de no haberse producido todavía la designación, </w:t>
      </w:r>
      <w:r w:rsidR="00DC7F7E">
        <w:rPr>
          <w:color w:val="000000"/>
          <w:sz w:val="28"/>
          <w:szCs w:val="28"/>
          <w:lang w:val="es-ES_tradnl"/>
        </w:rPr>
        <w:t xml:space="preserve">el contacto habrá de producirse </w:t>
      </w:r>
      <w:r w:rsidR="00CA09A7">
        <w:rPr>
          <w:color w:val="000000"/>
          <w:sz w:val="28"/>
          <w:szCs w:val="28"/>
          <w:lang w:val="es-ES_tradnl"/>
        </w:rPr>
        <w:lastRenderedPageBreak/>
        <w:t>con el Fiscal que haya presentado el escrito de calificación provisional.</w:t>
      </w:r>
    </w:p>
    <w:p w:rsidR="00CA09A7" w:rsidRDefault="00CA09A7" w:rsidP="009A22F2">
      <w:pPr>
        <w:pStyle w:val="Normal0"/>
        <w:spacing w:line="276" w:lineRule="auto"/>
        <w:jc w:val="both"/>
        <w:rPr>
          <w:color w:val="000000"/>
          <w:sz w:val="28"/>
          <w:szCs w:val="28"/>
          <w:lang w:val="es-ES_tradnl"/>
        </w:rPr>
      </w:pPr>
    </w:p>
    <w:p w:rsidR="00F82EF8" w:rsidRDefault="00CA09A7" w:rsidP="009A22F2">
      <w:pPr>
        <w:pStyle w:val="Normal0"/>
        <w:spacing w:line="276" w:lineRule="auto"/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 w:val="28"/>
          <w:szCs w:val="28"/>
          <w:lang w:val="es-ES_tradnl"/>
        </w:rPr>
        <w:t xml:space="preserve">       3º)  En caso de iniciarse una negociación con la finalidad de alcanzar la conformidad, se comunicará a la sección de la Audiencia correspondiente, a fin de paralizar</w:t>
      </w:r>
      <w:r w:rsidR="00F82EF8">
        <w:rPr>
          <w:color w:val="000000"/>
          <w:sz w:val="28"/>
          <w:szCs w:val="28"/>
          <w:lang w:val="es-ES_tradnl"/>
        </w:rPr>
        <w:t>,</w:t>
      </w:r>
      <w:r>
        <w:rPr>
          <w:color w:val="000000"/>
          <w:sz w:val="28"/>
          <w:szCs w:val="28"/>
          <w:lang w:val="es-ES_tradnl"/>
        </w:rPr>
        <w:t xml:space="preserve"> transitoriamente, las citaciones </w:t>
      </w:r>
      <w:r w:rsidR="00F82EF8">
        <w:rPr>
          <w:color w:val="000000"/>
          <w:sz w:val="28"/>
          <w:szCs w:val="28"/>
          <w:lang w:val="es-ES_tradnl"/>
        </w:rPr>
        <w:t>de testigos y peritos.</w:t>
      </w:r>
      <w:r w:rsidR="00DC7F7E" w:rsidRPr="00DC7F7E">
        <w:rPr>
          <w:color w:val="000000"/>
          <w:sz w:val="28"/>
          <w:szCs w:val="28"/>
          <w:lang w:val="es-ES_tradnl"/>
        </w:rPr>
        <w:t xml:space="preserve"> </w:t>
      </w:r>
      <w:r w:rsidR="00DC7F7E">
        <w:rPr>
          <w:color w:val="000000"/>
          <w:sz w:val="28"/>
          <w:szCs w:val="28"/>
          <w:lang w:val="es-ES_tradnl"/>
        </w:rPr>
        <w:t>Si en e</w:t>
      </w:r>
      <w:r w:rsidR="006074C1">
        <w:rPr>
          <w:color w:val="000000"/>
          <w:sz w:val="28"/>
          <w:szCs w:val="28"/>
          <w:lang w:val="es-ES_tradnl"/>
        </w:rPr>
        <w:t>l plazo de diez días hábiles</w:t>
      </w:r>
      <w:r w:rsidR="00DC7F7E">
        <w:rPr>
          <w:color w:val="000000"/>
          <w:sz w:val="28"/>
          <w:szCs w:val="28"/>
          <w:lang w:val="es-ES_tradnl"/>
        </w:rPr>
        <w:t xml:space="preserve"> no se recibe comunicación alguna</w:t>
      </w:r>
      <w:r w:rsidR="006074C1">
        <w:rPr>
          <w:color w:val="000000"/>
          <w:sz w:val="28"/>
          <w:szCs w:val="28"/>
          <w:lang w:val="es-ES_tradnl"/>
        </w:rPr>
        <w:t xml:space="preserve"> de las partes, el tribunal</w:t>
      </w:r>
      <w:r w:rsidR="00DC7F7E">
        <w:rPr>
          <w:color w:val="000000"/>
          <w:sz w:val="28"/>
          <w:szCs w:val="28"/>
          <w:lang w:val="es-ES_tradnl"/>
        </w:rPr>
        <w:t xml:space="preserve"> procederá a enviar las citaciones de testigos y peritos.</w:t>
      </w:r>
    </w:p>
    <w:p w:rsidR="00F82EF8" w:rsidRDefault="00F82EF8" w:rsidP="009A22F2">
      <w:pPr>
        <w:pStyle w:val="Normal0"/>
        <w:spacing w:line="276" w:lineRule="auto"/>
        <w:jc w:val="both"/>
        <w:rPr>
          <w:color w:val="000000"/>
          <w:sz w:val="28"/>
          <w:szCs w:val="28"/>
          <w:lang w:val="es-ES_tradnl"/>
        </w:rPr>
      </w:pPr>
    </w:p>
    <w:p w:rsidR="00CA09A7" w:rsidRDefault="00F82EF8" w:rsidP="009A22F2">
      <w:pPr>
        <w:pStyle w:val="Normal0"/>
        <w:spacing w:line="276" w:lineRule="auto"/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 w:val="28"/>
          <w:szCs w:val="28"/>
          <w:lang w:val="es-ES_tradnl"/>
        </w:rPr>
        <w:t xml:space="preserve">       4º) Una vez alcanzada la conformidad, se pondrá en conocimiento de la Sección, para proceder a fijar el día en el que se lleve a cabo la ratificación de la misma,</w:t>
      </w:r>
      <w:r w:rsidR="00DC7F7E">
        <w:rPr>
          <w:color w:val="000000"/>
          <w:sz w:val="28"/>
          <w:szCs w:val="28"/>
          <w:lang w:val="es-ES_tradnl"/>
        </w:rPr>
        <w:t xml:space="preserve"> si procede,</w:t>
      </w:r>
      <w:r>
        <w:rPr>
          <w:color w:val="000000"/>
          <w:sz w:val="28"/>
          <w:szCs w:val="28"/>
          <w:lang w:val="es-ES_tradnl"/>
        </w:rPr>
        <w:t xml:space="preserve"> a presencia judicial.</w:t>
      </w:r>
    </w:p>
    <w:p w:rsidR="00F82EF8" w:rsidRDefault="00F82EF8" w:rsidP="009A22F2">
      <w:pPr>
        <w:pStyle w:val="Normal0"/>
        <w:spacing w:line="276" w:lineRule="auto"/>
        <w:jc w:val="both"/>
        <w:rPr>
          <w:color w:val="000000"/>
          <w:sz w:val="28"/>
          <w:szCs w:val="28"/>
          <w:lang w:val="es-ES_tradnl"/>
        </w:rPr>
      </w:pPr>
    </w:p>
    <w:p w:rsidR="006947A4" w:rsidRPr="00E16173" w:rsidRDefault="00F82EF8" w:rsidP="0059765D">
      <w:pPr>
        <w:pStyle w:val="Normal0"/>
        <w:spacing w:line="276" w:lineRule="auto"/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 w:val="28"/>
          <w:szCs w:val="28"/>
          <w:lang w:val="es-ES_tradnl"/>
        </w:rPr>
        <w:t xml:space="preserve">        5º)  </w:t>
      </w:r>
      <w:r w:rsidR="0059765D">
        <w:rPr>
          <w:color w:val="000000"/>
          <w:sz w:val="28"/>
          <w:szCs w:val="28"/>
          <w:lang w:val="es-ES_tradnl"/>
        </w:rPr>
        <w:t>L</w:t>
      </w:r>
      <w:r w:rsidR="002374E8" w:rsidRPr="00E16173">
        <w:rPr>
          <w:color w:val="000000"/>
          <w:sz w:val="28"/>
          <w:szCs w:val="28"/>
          <w:lang w:val="es-ES_tradnl"/>
        </w:rPr>
        <w:t xml:space="preserve">a aplicación de estas pautas de actuación comenzará el 3 de septiembre de 2018. </w:t>
      </w:r>
    </w:p>
    <w:p w:rsidR="006947A4" w:rsidRDefault="006947A4" w:rsidP="009A22F2">
      <w:pPr>
        <w:pStyle w:val="Normal0"/>
        <w:spacing w:line="276" w:lineRule="auto"/>
        <w:jc w:val="both"/>
        <w:rPr>
          <w:color w:val="000000"/>
          <w:lang w:val="es-ES_tradnl"/>
        </w:rPr>
      </w:pPr>
    </w:p>
    <w:p w:rsidR="006947A4" w:rsidRDefault="006947A4" w:rsidP="006074C1">
      <w:pPr>
        <w:spacing w:line="276" w:lineRule="auto"/>
        <w:ind w:firstLine="709"/>
        <w:jc w:val="right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74C1">
        <w:rPr>
          <w:sz w:val="28"/>
          <w:szCs w:val="28"/>
        </w:rPr>
        <w:t>Julio de 2018.</w:t>
      </w:r>
    </w:p>
    <w:p w:rsidR="006947A4" w:rsidRDefault="006947A4" w:rsidP="006947A4">
      <w:pPr>
        <w:spacing w:line="360" w:lineRule="auto"/>
        <w:ind w:firstLine="709"/>
        <w:jc w:val="both"/>
        <w:rPr>
          <w:color w:val="FF0000"/>
        </w:rPr>
      </w:pPr>
    </w:p>
    <w:p w:rsidR="006947A4" w:rsidRDefault="006947A4" w:rsidP="006947A4">
      <w:pPr>
        <w:spacing w:line="360" w:lineRule="auto"/>
        <w:ind w:firstLine="709"/>
        <w:jc w:val="both"/>
        <w:rPr>
          <w:b/>
        </w:rPr>
      </w:pPr>
    </w:p>
    <w:p w:rsidR="006947A4" w:rsidRDefault="006947A4" w:rsidP="006947A4">
      <w:pPr>
        <w:spacing w:line="360" w:lineRule="auto"/>
        <w:jc w:val="both"/>
      </w:pPr>
      <w:r>
        <w:t xml:space="preserve">     </w:t>
      </w:r>
    </w:p>
    <w:p w:rsidR="0091429E" w:rsidRDefault="0091429E"/>
    <w:sectPr w:rsidR="0091429E" w:rsidSect="00914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515F"/>
    <w:multiLevelType w:val="hybridMultilevel"/>
    <w:tmpl w:val="001CB314"/>
    <w:lvl w:ilvl="0" w:tplc="E8F6DC96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0" w:hanging="360"/>
      </w:pPr>
    </w:lvl>
    <w:lvl w:ilvl="2" w:tplc="0C0A001B" w:tentative="1">
      <w:start w:val="1"/>
      <w:numFmt w:val="lowerRoman"/>
      <w:lvlText w:val="%3."/>
      <w:lvlJc w:val="right"/>
      <w:pPr>
        <w:ind w:left="2420" w:hanging="180"/>
      </w:pPr>
    </w:lvl>
    <w:lvl w:ilvl="3" w:tplc="0C0A000F" w:tentative="1">
      <w:start w:val="1"/>
      <w:numFmt w:val="decimal"/>
      <w:lvlText w:val="%4."/>
      <w:lvlJc w:val="left"/>
      <w:pPr>
        <w:ind w:left="3140" w:hanging="360"/>
      </w:pPr>
    </w:lvl>
    <w:lvl w:ilvl="4" w:tplc="0C0A0019" w:tentative="1">
      <w:start w:val="1"/>
      <w:numFmt w:val="lowerLetter"/>
      <w:lvlText w:val="%5."/>
      <w:lvlJc w:val="left"/>
      <w:pPr>
        <w:ind w:left="3860" w:hanging="360"/>
      </w:pPr>
    </w:lvl>
    <w:lvl w:ilvl="5" w:tplc="0C0A001B" w:tentative="1">
      <w:start w:val="1"/>
      <w:numFmt w:val="lowerRoman"/>
      <w:lvlText w:val="%6."/>
      <w:lvlJc w:val="right"/>
      <w:pPr>
        <w:ind w:left="4580" w:hanging="180"/>
      </w:pPr>
    </w:lvl>
    <w:lvl w:ilvl="6" w:tplc="0C0A000F" w:tentative="1">
      <w:start w:val="1"/>
      <w:numFmt w:val="decimal"/>
      <w:lvlText w:val="%7."/>
      <w:lvlJc w:val="left"/>
      <w:pPr>
        <w:ind w:left="5300" w:hanging="360"/>
      </w:pPr>
    </w:lvl>
    <w:lvl w:ilvl="7" w:tplc="0C0A0019" w:tentative="1">
      <w:start w:val="1"/>
      <w:numFmt w:val="lowerLetter"/>
      <w:lvlText w:val="%8."/>
      <w:lvlJc w:val="left"/>
      <w:pPr>
        <w:ind w:left="6020" w:hanging="360"/>
      </w:pPr>
    </w:lvl>
    <w:lvl w:ilvl="8" w:tplc="0C0A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6947A4"/>
    <w:rsid w:val="00052363"/>
    <w:rsid w:val="0010511E"/>
    <w:rsid w:val="002374E8"/>
    <w:rsid w:val="00274715"/>
    <w:rsid w:val="002A3234"/>
    <w:rsid w:val="0032061F"/>
    <w:rsid w:val="00365298"/>
    <w:rsid w:val="00432D03"/>
    <w:rsid w:val="004C4DEE"/>
    <w:rsid w:val="00505D64"/>
    <w:rsid w:val="0059765D"/>
    <w:rsid w:val="006074C1"/>
    <w:rsid w:val="006947A4"/>
    <w:rsid w:val="007229D5"/>
    <w:rsid w:val="00726B9E"/>
    <w:rsid w:val="0078556E"/>
    <w:rsid w:val="007B108B"/>
    <w:rsid w:val="007D2843"/>
    <w:rsid w:val="008028A7"/>
    <w:rsid w:val="008378B4"/>
    <w:rsid w:val="008E7AF7"/>
    <w:rsid w:val="0091429E"/>
    <w:rsid w:val="0092103C"/>
    <w:rsid w:val="009261A6"/>
    <w:rsid w:val="009A22F2"/>
    <w:rsid w:val="009A6E47"/>
    <w:rsid w:val="00AC4301"/>
    <w:rsid w:val="00B12FE4"/>
    <w:rsid w:val="00B77B86"/>
    <w:rsid w:val="00C20B70"/>
    <w:rsid w:val="00C52133"/>
    <w:rsid w:val="00C94B02"/>
    <w:rsid w:val="00CA09A7"/>
    <w:rsid w:val="00CD1648"/>
    <w:rsid w:val="00D84FDC"/>
    <w:rsid w:val="00DC7F7E"/>
    <w:rsid w:val="00E004BA"/>
    <w:rsid w:val="00E16173"/>
    <w:rsid w:val="00E54A48"/>
    <w:rsid w:val="00E677AA"/>
    <w:rsid w:val="00F5660A"/>
    <w:rsid w:val="00F8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A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_0"/>
    <w:qFormat/>
    <w:rsid w:val="006947A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ampos">
    <w:name w:val="Campos"/>
    <w:rsid w:val="006947A4"/>
    <w:rPr>
      <w:color w:val="0000FF"/>
    </w:rPr>
  </w:style>
  <w:style w:type="character" w:styleId="Hipervnculo">
    <w:name w:val="Hyperlink"/>
    <w:basedOn w:val="Fuentedeprrafopredeter"/>
    <w:uiPriority w:val="99"/>
    <w:unhideWhenUsed/>
    <w:rsid w:val="007D2843"/>
    <w:rPr>
      <w:color w:val="0000FF" w:themeColor="hyperlink"/>
      <w:u w:val="single"/>
    </w:rPr>
  </w:style>
  <w:style w:type="paragraph" w:customStyle="1" w:styleId="Style1">
    <w:name w:val="Style 1"/>
    <w:rsid w:val="00785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D84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D.G. Justicia - Gobierno de Cantabria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fpa12641</dc:creator>
  <cp:lastModifiedBy>Belen</cp:lastModifiedBy>
  <cp:revision>2</cp:revision>
  <cp:lastPrinted>2018-06-25T07:18:00Z</cp:lastPrinted>
  <dcterms:created xsi:type="dcterms:W3CDTF">2018-07-26T07:58:00Z</dcterms:created>
  <dcterms:modified xsi:type="dcterms:W3CDTF">2018-07-26T07:58:00Z</dcterms:modified>
</cp:coreProperties>
</file>